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13863" w14:textId="0FD36BE8" w:rsidR="00BB76B9" w:rsidRPr="00431B2F" w:rsidRDefault="00431B2F">
      <w:pPr>
        <w:rPr>
          <w:rFonts w:ascii="Fidelity Sans 2" w:hAnsi="Fidelity Sans 2"/>
        </w:rPr>
      </w:pPr>
      <w:r w:rsidRPr="00431B2F">
        <w:rPr>
          <w:rFonts w:ascii="Fidelity Sans 2" w:hAnsi="Fidelity Sans 2"/>
          <w:b/>
          <w:bCs/>
        </w:rPr>
        <w:t xml:space="preserve">Subject: </w:t>
      </w:r>
      <w:r w:rsidR="00FA306A">
        <w:rPr>
          <w:rFonts w:ascii="Fidelity Sans 2" w:hAnsi="Fidelity Sans 2"/>
        </w:rPr>
        <w:t>Tax tips so you can be tax ready</w:t>
      </w:r>
      <w:r w:rsidRPr="00431B2F">
        <w:rPr>
          <w:rFonts w:ascii="Fidelity Sans 2" w:hAnsi="Fidelity Sans 2"/>
        </w:rPr>
        <w:t xml:space="preserve"> </w:t>
      </w:r>
    </w:p>
    <w:p w14:paraId="438E2F21" w14:textId="351005ED" w:rsidR="00431B2F" w:rsidRDefault="00431B2F">
      <w:pPr>
        <w:rPr>
          <w:rFonts w:ascii="Fidelity Sans 2" w:hAnsi="Fidelity Sans 2"/>
        </w:rPr>
      </w:pPr>
      <w:r w:rsidRPr="00431B2F">
        <w:rPr>
          <w:rFonts w:ascii="Fidelity Sans 2" w:hAnsi="Fidelity Sans 2"/>
          <w:b/>
          <w:bCs/>
        </w:rPr>
        <w:t xml:space="preserve">Preheader: </w:t>
      </w:r>
      <w:r w:rsidR="00824326">
        <w:rPr>
          <w:rFonts w:ascii="Fidelity Sans 2" w:hAnsi="Fidelity Sans 2"/>
        </w:rPr>
        <w:t>We bring you the basics on being ready for Tax Day.</w:t>
      </w:r>
    </w:p>
    <w:p w14:paraId="0AD2D7EB" w14:textId="77777777" w:rsidR="00431B2F" w:rsidRPr="00431B2F" w:rsidRDefault="00431B2F">
      <w:pPr>
        <w:rPr>
          <w:rFonts w:ascii="Fidelity Sans 2" w:hAnsi="Fidelity Sans 2"/>
          <w:b/>
          <w:bCs/>
        </w:rPr>
      </w:pPr>
    </w:p>
    <w:p w14:paraId="4B9B78D1" w14:textId="4B53A641" w:rsidR="00431B2F" w:rsidRDefault="00431B2F">
      <w:r w:rsidRPr="00332E1C">
        <w:rPr>
          <w:noProof/>
        </w:rPr>
        <w:drawing>
          <wp:inline distT="0" distB="0" distL="0" distR="0" wp14:anchorId="00586400" wp14:editId="5A0111AA">
            <wp:extent cx="1485900" cy="371475"/>
            <wp:effectExtent l="0" t="0" r="0" b="9525"/>
            <wp:docPr id="118273095" name="Picture 2" descr="Fidelity Invest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delity Investment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371475"/>
                    </a:xfrm>
                    <a:prstGeom prst="rect">
                      <a:avLst/>
                    </a:prstGeom>
                    <a:noFill/>
                    <a:ln>
                      <a:noFill/>
                    </a:ln>
                  </pic:spPr>
                </pic:pic>
              </a:graphicData>
            </a:graphic>
          </wp:inline>
        </w:drawing>
      </w:r>
      <w:r>
        <w:t xml:space="preserve"> </w:t>
      </w:r>
      <w:r>
        <w:tab/>
      </w:r>
      <w:r>
        <w:tab/>
      </w:r>
      <w:r>
        <w:tab/>
      </w:r>
      <w:r>
        <w:tab/>
      </w:r>
      <w:r>
        <w:tab/>
      </w:r>
      <w:r>
        <w:tab/>
      </w:r>
      <w:r>
        <w:tab/>
      </w:r>
      <w:r w:rsidRPr="00635967">
        <w:rPr>
          <w:noProof/>
        </w:rPr>
        <w:drawing>
          <wp:inline distT="0" distB="0" distL="0" distR="0" wp14:anchorId="4CD49588" wp14:editId="1279708E">
            <wp:extent cx="1333500" cy="400050"/>
            <wp:effectExtent l="0" t="0" r="0" b="0"/>
            <wp:docPr id="2025163785" name="Picture 4" descr="A red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163785" name="Picture 4" descr="A red text on a white background&#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0" cy="400050"/>
                    </a:xfrm>
                    <a:prstGeom prst="rect">
                      <a:avLst/>
                    </a:prstGeom>
                    <a:noFill/>
                    <a:ln>
                      <a:noFill/>
                    </a:ln>
                  </pic:spPr>
                </pic:pic>
              </a:graphicData>
            </a:graphic>
          </wp:inline>
        </w:drawing>
      </w:r>
    </w:p>
    <w:p w14:paraId="400D8B07" w14:textId="7D57D201" w:rsidR="00431B2F" w:rsidRDefault="00431B2F">
      <w:r>
        <w:rPr>
          <w:noProof/>
        </w:rPr>
        <w:drawing>
          <wp:inline distT="0" distB="0" distL="0" distR="0" wp14:anchorId="44965772" wp14:editId="0F966008">
            <wp:extent cx="5943600" cy="2377440"/>
            <wp:effectExtent l="0" t="0" r="0" b="3810"/>
            <wp:docPr id="1528864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864120"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5943600" cy="2377440"/>
                    </a:xfrm>
                    <a:prstGeom prst="rect">
                      <a:avLst/>
                    </a:prstGeom>
                    <a:ln w="76200">
                      <a:noFill/>
                    </a:ln>
                  </pic:spPr>
                </pic:pic>
              </a:graphicData>
            </a:graphic>
          </wp:inline>
        </w:drawing>
      </w:r>
    </w:p>
    <w:p w14:paraId="7DF7B8FF" w14:textId="7500FF65" w:rsidR="00431B2F" w:rsidRPr="00431B2F" w:rsidRDefault="00A6238A" w:rsidP="00431B2F">
      <w:pPr>
        <w:rPr>
          <w:rFonts w:ascii="Fidelity Sans 2" w:hAnsi="Fidelity Sans 2"/>
        </w:rPr>
      </w:pPr>
      <w:r>
        <w:rPr>
          <w:rFonts w:ascii="Fidelity Sans 2" w:hAnsi="Fidelity Sans 2"/>
        </w:rPr>
        <w:t>With Tax Day around the corner, it’s a great idea to start getting ready for the April 15</w:t>
      </w:r>
      <w:r w:rsidRPr="00A6238A">
        <w:rPr>
          <w:rFonts w:ascii="Fidelity Sans 2" w:hAnsi="Fidelity Sans 2"/>
          <w:vertAlign w:val="superscript"/>
        </w:rPr>
        <w:t>th</w:t>
      </w:r>
      <w:r>
        <w:rPr>
          <w:rFonts w:ascii="Fidelity Sans 2" w:hAnsi="Fidelity Sans 2"/>
        </w:rPr>
        <w:t xml:space="preserve"> deadline right away. Visit our tax tips page on </w:t>
      </w:r>
      <w:hyperlink r:id="rId7" w:history="1">
        <w:r w:rsidRPr="00366F2C">
          <w:rPr>
            <w:rStyle w:val="Hyperlink"/>
            <w:rFonts w:ascii="Fidelity Sans 2" w:hAnsi="Fidelity Sans 2"/>
          </w:rPr>
          <w:t>NetBenefits</w:t>
        </w:r>
      </w:hyperlink>
      <w:r>
        <w:rPr>
          <w:rFonts w:ascii="Fidelity Sans 2" w:hAnsi="Fidelity Sans 2"/>
        </w:rPr>
        <w:t xml:space="preserve"> for helpful information and steps you can take to get ahead of the crowd and start prepping today. </w:t>
      </w:r>
    </w:p>
    <w:p w14:paraId="085E46B3" w14:textId="0FBDF8AF" w:rsidR="00431B2F" w:rsidRPr="0082756E" w:rsidRDefault="007022BA" w:rsidP="00431B2F">
      <w:r>
        <w:rPr>
          <w:noProof/>
        </w:rPr>
        <w:drawing>
          <wp:inline distT="0" distB="0" distL="0" distR="0" wp14:anchorId="7110F2D1" wp14:editId="1EE10AB3">
            <wp:extent cx="1543507" cy="435047"/>
            <wp:effectExtent l="0" t="0" r="0" b="3175"/>
            <wp:docPr id="955586071" name="Picture 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586071" name="Picture 1">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1105" cy="454100"/>
                    </a:xfrm>
                    <a:prstGeom prst="rect">
                      <a:avLst/>
                    </a:prstGeom>
                    <a:noFill/>
                    <a:ln>
                      <a:noFill/>
                    </a:ln>
                  </pic:spPr>
                </pic:pic>
              </a:graphicData>
            </a:graphic>
          </wp:inline>
        </w:drawing>
      </w:r>
      <w:r w:rsidR="00431B2F">
        <w:t xml:space="preserve"> </w:t>
      </w:r>
    </w:p>
    <w:p w14:paraId="23CAFCAC" w14:textId="77777777" w:rsidR="00431B2F" w:rsidRPr="00431B2F" w:rsidRDefault="00431B2F" w:rsidP="00431B2F">
      <w:pPr>
        <w:rPr>
          <w:rFonts w:ascii="Aptos" w:eastAsia="Aptos" w:hAnsi="Aptos" w:cs="Times New Roman"/>
        </w:rPr>
      </w:pPr>
    </w:p>
    <w:p w14:paraId="3D4C1C70"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noProof/>
          <w:sz w:val="20"/>
          <w:szCs w:val="20"/>
        </w:rPr>
        <w:drawing>
          <wp:anchor distT="0" distB="0" distL="114300" distR="114300" simplePos="0" relativeHeight="251661312" behindDoc="1" locked="0" layoutInCell="1" allowOverlap="1" wp14:anchorId="3C3BDD16" wp14:editId="5F9D6E3B">
            <wp:simplePos x="0" y="0"/>
            <wp:positionH relativeFrom="margin">
              <wp:align>right</wp:align>
            </wp:positionH>
            <wp:positionV relativeFrom="paragraph">
              <wp:posOffset>29845</wp:posOffset>
            </wp:positionV>
            <wp:extent cx="1243965" cy="367665"/>
            <wp:effectExtent l="0" t="0" r="0" b="0"/>
            <wp:wrapTight wrapText="bothSides">
              <wp:wrapPolygon edited="0">
                <wp:start x="0" y="0"/>
                <wp:lineTo x="0" y="20145"/>
                <wp:lineTo x="21170" y="20145"/>
                <wp:lineTo x="21170" y="0"/>
                <wp:lineTo x="0" y="0"/>
              </wp:wrapPolygon>
            </wp:wrapTight>
            <wp:docPr id="851900933" name="Picture 9">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00933" name="Picture 9">
                      <a:hlinkClick r:id="rId9"/>
                    </pic:cNvPr>
                    <pic:cNvPicPr/>
                  </pic:nvPicPr>
                  <pic:blipFill>
                    <a:blip r:embed="rId10">
                      <a:extLst>
                        <a:ext uri="{28A0092B-C50C-407E-A947-70E740481C1C}">
                          <a14:useLocalDpi xmlns:a14="http://schemas.microsoft.com/office/drawing/2010/main" val="0"/>
                        </a:ext>
                      </a:extLst>
                    </a:blip>
                    <a:stretch>
                      <a:fillRect/>
                    </a:stretch>
                  </pic:blipFill>
                  <pic:spPr>
                    <a:xfrm>
                      <a:off x="0" y="0"/>
                      <a:ext cx="1243965" cy="367665"/>
                    </a:xfrm>
                    <a:prstGeom prst="rect">
                      <a:avLst/>
                    </a:prstGeom>
                  </pic:spPr>
                </pic:pic>
              </a:graphicData>
            </a:graphic>
          </wp:anchor>
        </w:drawing>
      </w:r>
      <w:r w:rsidRPr="00431B2F">
        <w:rPr>
          <w:rFonts w:ascii="Fidelity Sans 2" w:eastAsia="Aptos" w:hAnsi="Fidelity Sans 2" w:cs="Times New Roman"/>
          <w:noProof/>
          <w:sz w:val="20"/>
          <w:szCs w:val="20"/>
        </w:rPr>
        <w:drawing>
          <wp:anchor distT="0" distB="0" distL="114300" distR="114300" simplePos="0" relativeHeight="251660288" behindDoc="0" locked="0" layoutInCell="1" allowOverlap="1" wp14:anchorId="359AB416" wp14:editId="0AFB83FE">
            <wp:simplePos x="0" y="0"/>
            <wp:positionH relativeFrom="column">
              <wp:posOffset>3457575</wp:posOffset>
            </wp:positionH>
            <wp:positionV relativeFrom="paragraph">
              <wp:posOffset>36195</wp:posOffset>
            </wp:positionV>
            <wp:extent cx="1161415" cy="386715"/>
            <wp:effectExtent l="0" t="0" r="635" b="0"/>
            <wp:wrapSquare wrapText="bothSides"/>
            <wp:docPr id="871912828" name="Picture 8">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912828" name="Picture 8">
                      <a:hlinkClick r:id="rId11"/>
                    </pic:cNvPr>
                    <pic:cNvPicPr/>
                  </pic:nvPicPr>
                  <pic:blipFill>
                    <a:blip r:embed="rId12">
                      <a:extLst>
                        <a:ext uri="{28A0092B-C50C-407E-A947-70E740481C1C}">
                          <a14:useLocalDpi xmlns:a14="http://schemas.microsoft.com/office/drawing/2010/main" val="0"/>
                        </a:ext>
                      </a:extLst>
                    </a:blip>
                    <a:stretch>
                      <a:fillRect/>
                    </a:stretch>
                  </pic:blipFill>
                  <pic:spPr>
                    <a:xfrm>
                      <a:off x="0" y="0"/>
                      <a:ext cx="1161415" cy="386715"/>
                    </a:xfrm>
                    <a:prstGeom prst="rect">
                      <a:avLst/>
                    </a:prstGeom>
                  </pic:spPr>
                </pic:pic>
              </a:graphicData>
            </a:graphic>
            <wp14:sizeRelH relativeFrom="margin">
              <wp14:pctWidth>0</wp14:pctWidth>
            </wp14:sizeRelH>
            <wp14:sizeRelV relativeFrom="margin">
              <wp14:pctHeight>0</wp14:pctHeight>
            </wp14:sizeRelV>
          </wp:anchor>
        </w:drawing>
      </w:r>
      <w:r w:rsidRPr="00431B2F">
        <w:rPr>
          <w:rFonts w:ascii="Fidelity Sans 2" w:eastAsia="Aptos" w:hAnsi="Fidelity Sans 2" w:cs="Times New Roman"/>
          <w:noProof/>
        </w:rPr>
        <w:drawing>
          <wp:anchor distT="0" distB="0" distL="114300" distR="114300" simplePos="0" relativeHeight="251659264" behindDoc="0" locked="0" layoutInCell="1" allowOverlap="1" wp14:anchorId="6E034C23" wp14:editId="0F8CC2A5">
            <wp:simplePos x="0" y="0"/>
            <wp:positionH relativeFrom="margin">
              <wp:align>left</wp:align>
            </wp:positionH>
            <wp:positionV relativeFrom="paragraph">
              <wp:posOffset>7620</wp:posOffset>
            </wp:positionV>
            <wp:extent cx="679450" cy="679450"/>
            <wp:effectExtent l="0" t="0" r="6350" b="6350"/>
            <wp:wrapSquare wrapText="bothSides"/>
            <wp:docPr id="1836835454" name="Picture 7"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835454" name="Picture 7" descr="A qr code on a white background&#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679450" cy="679450"/>
                    </a:xfrm>
                    <a:prstGeom prst="rect">
                      <a:avLst/>
                    </a:prstGeom>
                  </pic:spPr>
                </pic:pic>
              </a:graphicData>
            </a:graphic>
            <wp14:sizeRelH relativeFrom="margin">
              <wp14:pctWidth>0</wp14:pctWidth>
            </wp14:sizeRelH>
            <wp14:sizeRelV relativeFrom="margin">
              <wp14:pctHeight>0</wp14:pctHeight>
            </wp14:sizeRelV>
          </wp:anchor>
        </w:drawing>
      </w:r>
      <w:r w:rsidRPr="00431B2F">
        <w:rPr>
          <w:rFonts w:ascii="Fidelity Sans 2" w:eastAsia="Aptos" w:hAnsi="Fidelity Sans 2" w:cs="Times New Roman"/>
          <w:sz w:val="20"/>
          <w:szCs w:val="20"/>
        </w:rPr>
        <w:t xml:space="preserve">The </w:t>
      </w:r>
      <w:r w:rsidRPr="00431B2F">
        <w:rPr>
          <w:rFonts w:ascii="Fidelity Sans 2" w:eastAsia="Aptos" w:hAnsi="Fidelity Sans 2" w:cs="Times New Roman"/>
          <w:b/>
          <w:bCs/>
          <w:sz w:val="20"/>
          <w:szCs w:val="20"/>
        </w:rPr>
        <w:t>NetBenefits® app</w:t>
      </w:r>
      <w:r w:rsidRPr="00431B2F">
        <w:rPr>
          <w:rFonts w:ascii="Fidelity Sans 2" w:eastAsia="Aptos" w:hAnsi="Fidelity Sans 2" w:cs="Times New Roman"/>
          <w:sz w:val="20"/>
          <w:szCs w:val="20"/>
        </w:rPr>
        <w:t xml:space="preserve"> gives you more ways to access and manage your employee benefits. Download now or </w:t>
      </w:r>
      <w:hyperlink r:id="rId14" w:history="1">
        <w:r w:rsidRPr="00431B2F">
          <w:rPr>
            <w:rFonts w:ascii="Fidelity Sans 2" w:eastAsia="Aptos" w:hAnsi="Fidelity Sans 2" w:cs="Times New Roman"/>
            <w:color w:val="467886"/>
            <w:sz w:val="20"/>
            <w:szCs w:val="20"/>
            <w:u w:val="single"/>
          </w:rPr>
          <w:t>open the app</w:t>
        </w:r>
      </w:hyperlink>
      <w:r w:rsidRPr="00431B2F">
        <w:rPr>
          <w:rFonts w:ascii="Fidelity Sans 2" w:eastAsia="Aptos" w:hAnsi="Fidelity Sans 2" w:cs="Times New Roman"/>
          <w:sz w:val="20"/>
          <w:szCs w:val="20"/>
        </w:rPr>
        <w:t>.</w:t>
      </w:r>
    </w:p>
    <w:p w14:paraId="2BEBD93E" w14:textId="77777777" w:rsidR="00431B2F" w:rsidRPr="00431B2F" w:rsidRDefault="00431B2F" w:rsidP="00431B2F">
      <w:pPr>
        <w:rPr>
          <w:rFonts w:ascii="Fidelity Sans" w:eastAsia="Aptos" w:hAnsi="Fidelity Sans" w:cs="Times New Roman"/>
          <w:sz w:val="20"/>
          <w:szCs w:val="20"/>
        </w:rPr>
      </w:pPr>
    </w:p>
    <w:p w14:paraId="11F9F039"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App Store is a registered service mark of Apple Inc. Google Play is a trademark of Google LLC.</w:t>
      </w:r>
    </w:p>
    <w:p w14:paraId="3C81863C" w14:textId="77777777" w:rsidR="00431B2F" w:rsidRDefault="00431B2F" w:rsidP="00431B2F">
      <w:pPr>
        <w:rPr>
          <w:rFonts w:ascii="Fidelity Sans 2" w:eastAsia="Aptos" w:hAnsi="Fidelity Sans 2" w:cs="Times New Roman"/>
          <w:sz w:val="20"/>
          <w:szCs w:val="20"/>
        </w:rPr>
      </w:pPr>
      <w:hyperlink r:id="rId15" w:history="1">
        <w:r w:rsidRPr="00431B2F">
          <w:rPr>
            <w:rFonts w:ascii="Fidelity Sans 2" w:eastAsia="Aptos" w:hAnsi="Fidelity Sans 2" w:cs="Times New Roman"/>
            <w:color w:val="467886"/>
            <w:sz w:val="20"/>
            <w:szCs w:val="20"/>
            <w:u w:val="single"/>
          </w:rPr>
          <w:t xml:space="preserve">Privacy policy </w:t>
        </w:r>
      </w:hyperlink>
      <w:r w:rsidRPr="00431B2F">
        <w:rPr>
          <w:rFonts w:ascii="Fidelity Sans 2" w:eastAsia="Aptos" w:hAnsi="Fidelity Sans 2" w:cs="Times New Roman"/>
          <w:sz w:val="20"/>
          <w:szCs w:val="20"/>
        </w:rPr>
        <w:t xml:space="preserve"> |  </w:t>
      </w:r>
      <w:hyperlink r:id="rId16" w:history="1">
        <w:r w:rsidRPr="00431B2F">
          <w:rPr>
            <w:rFonts w:ascii="Fidelity Sans 2" w:eastAsia="Aptos" w:hAnsi="Fidelity Sans 2" w:cs="Times New Roman"/>
            <w:color w:val="467886"/>
            <w:sz w:val="20"/>
            <w:szCs w:val="20"/>
            <w:u w:val="single"/>
          </w:rPr>
          <w:t xml:space="preserve">Terms of use </w:t>
        </w:r>
      </w:hyperlink>
      <w:r w:rsidRPr="00431B2F">
        <w:rPr>
          <w:rFonts w:ascii="Fidelity Sans 2" w:eastAsia="Aptos" w:hAnsi="Fidelity Sans 2" w:cs="Times New Roman"/>
          <w:sz w:val="20"/>
          <w:szCs w:val="20"/>
        </w:rPr>
        <w:t xml:space="preserve"> </w:t>
      </w:r>
    </w:p>
    <w:p w14:paraId="58998B68" w14:textId="5962F885" w:rsidR="00270F11" w:rsidRDefault="00270F11" w:rsidP="00431B2F">
      <w:pPr>
        <w:rPr>
          <w:rFonts w:ascii="Fidelity Sans 2" w:eastAsia="Aptos" w:hAnsi="Fidelity Sans 2" w:cs="Times New Roman"/>
          <w:sz w:val="20"/>
          <w:szCs w:val="20"/>
        </w:rPr>
      </w:pPr>
      <w:r>
        <w:rPr>
          <w:rFonts w:ascii="Fidelity Sans 2" w:eastAsia="Aptos" w:hAnsi="Fidelity Sans 2" w:cs="Times New Roman"/>
          <w:sz w:val="20"/>
          <w:szCs w:val="20"/>
        </w:rPr>
        <w:t>Investing involves risk, including risk of loss.</w:t>
      </w:r>
    </w:p>
    <w:p w14:paraId="4C2889AE" w14:textId="77777777" w:rsid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Fidelity does not provide legal or tax advice. The information herein is general in nature and should not be considered legal or tax advice. Consult an attorney or tax professional regarding your specific situation.</w:t>
      </w:r>
    </w:p>
    <w:p w14:paraId="6CDE30E8" w14:textId="135ECD50" w:rsidR="00E22B58" w:rsidRDefault="00E22B58" w:rsidP="00431B2F">
      <w:pPr>
        <w:rPr>
          <w:rFonts w:ascii="Fidelity Sans 2" w:eastAsia="Aptos" w:hAnsi="Fidelity Sans 2" w:cs="Times New Roman"/>
          <w:sz w:val="20"/>
          <w:szCs w:val="20"/>
        </w:rPr>
      </w:pPr>
      <w:r>
        <w:rPr>
          <w:rFonts w:ascii="Fidelity Sans 2" w:eastAsia="Aptos" w:hAnsi="Fidelity Sans 2" w:cs="Times New Roman"/>
          <w:sz w:val="20"/>
          <w:szCs w:val="20"/>
        </w:rPr>
        <w:t>Please do not respond to this email. This inbox is not monitored, and you will not receive a response.</w:t>
      </w:r>
    </w:p>
    <w:p w14:paraId="0E06B70B" w14:textId="7024D677" w:rsidR="00E22B58" w:rsidRDefault="00E22B58" w:rsidP="00431B2F">
      <w:pPr>
        <w:rPr>
          <w:rFonts w:ascii="Fidelity Sans 2" w:eastAsia="Aptos" w:hAnsi="Fidelity Sans 2" w:cs="Times New Roman"/>
          <w:sz w:val="20"/>
          <w:szCs w:val="20"/>
        </w:rPr>
      </w:pPr>
      <w:r w:rsidRPr="00E22B58">
        <w:rPr>
          <w:rFonts w:ascii="Fidelity Sans 2" w:eastAsia="Aptos" w:hAnsi="Fidelity Sans 2" w:cs="Times New Roman"/>
          <w:sz w:val="20"/>
          <w:szCs w:val="20"/>
        </w:rPr>
        <w:t>The information in this email is intended solely for the attention and use of the named addressee. This</w:t>
      </w:r>
      <w:r>
        <w:rPr>
          <w:rFonts w:ascii="Fidelity Sans 2" w:eastAsia="Aptos" w:hAnsi="Fidelity Sans 2" w:cs="Times New Roman"/>
          <w:sz w:val="20"/>
          <w:szCs w:val="20"/>
        </w:rPr>
        <w:t xml:space="preserve"> </w:t>
      </w:r>
      <w:r w:rsidRPr="00E22B58">
        <w:rPr>
          <w:rFonts w:ascii="Fidelity Sans 2" w:eastAsia="Aptos" w:hAnsi="Fidelity Sans 2" w:cs="Times New Roman"/>
          <w:sz w:val="20"/>
          <w:szCs w:val="20"/>
        </w:rPr>
        <w:t>message or any part thereof must not be disclosed, copied, distributed, or retained by any person</w:t>
      </w:r>
      <w:r>
        <w:rPr>
          <w:rFonts w:ascii="Fidelity Sans 2" w:eastAsia="Aptos" w:hAnsi="Fidelity Sans 2" w:cs="Times New Roman"/>
          <w:sz w:val="20"/>
          <w:szCs w:val="20"/>
        </w:rPr>
        <w:t xml:space="preserve"> </w:t>
      </w:r>
      <w:r w:rsidRPr="00E22B58">
        <w:rPr>
          <w:rFonts w:ascii="Fidelity Sans 2" w:eastAsia="Aptos" w:hAnsi="Fidelity Sans 2" w:cs="Times New Roman"/>
          <w:sz w:val="20"/>
          <w:szCs w:val="20"/>
        </w:rPr>
        <w:t>without authorization of the addressee.</w:t>
      </w:r>
    </w:p>
    <w:p w14:paraId="45B6632F" w14:textId="3F4EBDCF" w:rsidR="005574F5" w:rsidRPr="00431B2F" w:rsidRDefault="005574F5" w:rsidP="00431B2F">
      <w:pPr>
        <w:rPr>
          <w:rFonts w:ascii="Fidelity Sans 2" w:eastAsia="Aptos" w:hAnsi="Fidelity Sans 2" w:cs="Times New Roman"/>
          <w:sz w:val="20"/>
          <w:szCs w:val="20"/>
        </w:rPr>
      </w:pPr>
      <w:r>
        <w:rPr>
          <w:rFonts w:ascii="Fidelity Sans 2" w:eastAsia="Aptos" w:hAnsi="Fidelity Sans 2" w:cs="Times New Roman"/>
          <w:sz w:val="20"/>
          <w:szCs w:val="20"/>
        </w:rPr>
        <w:lastRenderedPageBreak/>
        <w:t>The Fidelity Investments logo is a registered service mark of FMR LLC.</w:t>
      </w:r>
    </w:p>
    <w:p w14:paraId="456CEC6B"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 xml:space="preserve">Fidelity Brokerage Services LLC, Member NYSE, </w:t>
      </w:r>
      <w:hyperlink r:id="rId17" w:history="1">
        <w:r w:rsidRPr="00431B2F">
          <w:rPr>
            <w:rFonts w:ascii="Fidelity Sans 2" w:eastAsia="Aptos" w:hAnsi="Fidelity Sans 2" w:cs="Times New Roman"/>
            <w:color w:val="467886"/>
            <w:sz w:val="20"/>
            <w:szCs w:val="20"/>
            <w:u w:val="single"/>
          </w:rPr>
          <w:t>SIPC</w:t>
        </w:r>
      </w:hyperlink>
      <w:r w:rsidRPr="00431B2F">
        <w:rPr>
          <w:rFonts w:ascii="Fidelity Sans 2" w:eastAsia="Aptos" w:hAnsi="Fidelity Sans 2" w:cs="Times New Roman"/>
          <w:sz w:val="20"/>
          <w:szCs w:val="20"/>
        </w:rPr>
        <w:t>, 900 Salem Street, Smithfield, RI 02917</w:t>
      </w:r>
    </w:p>
    <w:p w14:paraId="7EB68C93" w14:textId="4F92BE28"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 202</w:t>
      </w:r>
      <w:r w:rsidR="00BC6206">
        <w:rPr>
          <w:rFonts w:ascii="Fidelity Sans 2" w:eastAsia="Aptos" w:hAnsi="Fidelity Sans 2" w:cs="Times New Roman"/>
          <w:sz w:val="20"/>
          <w:szCs w:val="20"/>
        </w:rPr>
        <w:t>6</w:t>
      </w:r>
      <w:r w:rsidRPr="00431B2F">
        <w:rPr>
          <w:rFonts w:ascii="Fidelity Sans 2" w:eastAsia="Aptos" w:hAnsi="Fidelity Sans 2" w:cs="Times New Roman"/>
          <w:sz w:val="20"/>
          <w:szCs w:val="20"/>
        </w:rPr>
        <w:t xml:space="preserve"> FMR LLC. All rights reserved.</w:t>
      </w:r>
    </w:p>
    <w:p w14:paraId="6A0C32AE" w14:textId="6440DB99" w:rsidR="00431B2F" w:rsidRPr="00431B2F" w:rsidRDefault="00BC6206">
      <w:pPr>
        <w:rPr>
          <w:rFonts w:ascii="Fidelity Sans 2" w:eastAsia="Aptos" w:hAnsi="Fidelity Sans 2" w:cs="Times New Roman"/>
          <w:sz w:val="20"/>
          <w:szCs w:val="20"/>
        </w:rPr>
      </w:pPr>
      <w:r>
        <w:rPr>
          <w:rFonts w:ascii="Fidelity Sans 2" w:eastAsia="Aptos" w:hAnsi="Fidelity Sans 2" w:cs="Times New Roman"/>
          <w:sz w:val="20"/>
          <w:szCs w:val="20"/>
        </w:rPr>
        <w:t>1243666.1.0</w:t>
      </w:r>
    </w:p>
    <w:sectPr w:rsidR="00431B2F" w:rsidRPr="00431B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idelity Sans 2">
    <w:altName w:val="Fidelity Sans 2"/>
    <w:panose1 w:val="020B0504050501040104"/>
    <w:charset w:val="00"/>
    <w:family w:val="swiss"/>
    <w:pitch w:val="variable"/>
    <w:sig w:usb0="800000AF" w:usb1="5000204A" w:usb2="00000000" w:usb3="00000000" w:csb0="00000093" w:csb1="00000000"/>
  </w:font>
  <w:font w:name="Fidelity Sans">
    <w:panose1 w:val="020B0503030202020204"/>
    <w:charset w:val="00"/>
    <w:family w:val="swiss"/>
    <w:pitch w:val="variable"/>
    <w:sig w:usb0="A00000AF" w:usb1="5000205B"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B2F"/>
    <w:rsid w:val="00245C1F"/>
    <w:rsid w:val="00270F11"/>
    <w:rsid w:val="00313E3A"/>
    <w:rsid w:val="0035197E"/>
    <w:rsid w:val="00366F2C"/>
    <w:rsid w:val="00431B2F"/>
    <w:rsid w:val="0047402E"/>
    <w:rsid w:val="0054549A"/>
    <w:rsid w:val="005574F5"/>
    <w:rsid w:val="007022BA"/>
    <w:rsid w:val="00783053"/>
    <w:rsid w:val="007A028F"/>
    <w:rsid w:val="00824326"/>
    <w:rsid w:val="0082756E"/>
    <w:rsid w:val="009B38A4"/>
    <w:rsid w:val="00A6238A"/>
    <w:rsid w:val="00AF532D"/>
    <w:rsid w:val="00BB76B9"/>
    <w:rsid w:val="00BC6206"/>
    <w:rsid w:val="00C21C4C"/>
    <w:rsid w:val="00D7253A"/>
    <w:rsid w:val="00E22B58"/>
    <w:rsid w:val="00FA3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8DC19"/>
  <w15:chartTrackingRefBased/>
  <w15:docId w15:val="{05196C25-42AC-46E7-B1D8-3ECA67996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1B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1B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1B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1B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1B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1B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1B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1B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1B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B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1B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1B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1B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1B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1B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B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B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B2F"/>
    <w:rPr>
      <w:rFonts w:eastAsiaTheme="majorEastAsia" w:cstheme="majorBidi"/>
      <w:color w:val="272727" w:themeColor="text1" w:themeTint="D8"/>
    </w:rPr>
  </w:style>
  <w:style w:type="paragraph" w:styleId="Title">
    <w:name w:val="Title"/>
    <w:basedOn w:val="Normal"/>
    <w:next w:val="Normal"/>
    <w:link w:val="TitleChar"/>
    <w:uiPriority w:val="10"/>
    <w:qFormat/>
    <w:rsid w:val="00431B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1B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B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1B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B2F"/>
    <w:pPr>
      <w:spacing w:before="160"/>
      <w:jc w:val="center"/>
    </w:pPr>
    <w:rPr>
      <w:i/>
      <w:iCs/>
      <w:color w:val="404040" w:themeColor="text1" w:themeTint="BF"/>
    </w:rPr>
  </w:style>
  <w:style w:type="character" w:customStyle="1" w:styleId="QuoteChar">
    <w:name w:val="Quote Char"/>
    <w:basedOn w:val="DefaultParagraphFont"/>
    <w:link w:val="Quote"/>
    <w:uiPriority w:val="29"/>
    <w:rsid w:val="00431B2F"/>
    <w:rPr>
      <w:i/>
      <w:iCs/>
      <w:color w:val="404040" w:themeColor="text1" w:themeTint="BF"/>
    </w:rPr>
  </w:style>
  <w:style w:type="paragraph" w:styleId="ListParagraph">
    <w:name w:val="List Paragraph"/>
    <w:basedOn w:val="Normal"/>
    <w:uiPriority w:val="34"/>
    <w:qFormat/>
    <w:rsid w:val="00431B2F"/>
    <w:pPr>
      <w:ind w:left="720"/>
      <w:contextualSpacing/>
    </w:pPr>
  </w:style>
  <w:style w:type="character" w:styleId="IntenseEmphasis">
    <w:name w:val="Intense Emphasis"/>
    <w:basedOn w:val="DefaultParagraphFont"/>
    <w:uiPriority w:val="21"/>
    <w:qFormat/>
    <w:rsid w:val="00431B2F"/>
    <w:rPr>
      <w:i/>
      <w:iCs/>
      <w:color w:val="0F4761" w:themeColor="accent1" w:themeShade="BF"/>
    </w:rPr>
  </w:style>
  <w:style w:type="paragraph" w:styleId="IntenseQuote">
    <w:name w:val="Intense Quote"/>
    <w:basedOn w:val="Normal"/>
    <w:next w:val="Normal"/>
    <w:link w:val="IntenseQuoteChar"/>
    <w:uiPriority w:val="30"/>
    <w:qFormat/>
    <w:rsid w:val="00431B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1B2F"/>
    <w:rPr>
      <w:i/>
      <w:iCs/>
      <w:color w:val="0F4761" w:themeColor="accent1" w:themeShade="BF"/>
    </w:rPr>
  </w:style>
  <w:style w:type="character" w:styleId="IntenseReference">
    <w:name w:val="Intense Reference"/>
    <w:basedOn w:val="DefaultParagraphFont"/>
    <w:uiPriority w:val="32"/>
    <w:qFormat/>
    <w:rsid w:val="00431B2F"/>
    <w:rPr>
      <w:b/>
      <w:bCs/>
      <w:smallCaps/>
      <w:color w:val="0F4761" w:themeColor="accent1" w:themeShade="BF"/>
      <w:spacing w:val="5"/>
    </w:rPr>
  </w:style>
  <w:style w:type="character" w:styleId="Hyperlink">
    <w:name w:val="Hyperlink"/>
    <w:basedOn w:val="DefaultParagraphFont"/>
    <w:uiPriority w:val="99"/>
    <w:unhideWhenUsed/>
    <w:rsid w:val="00366F2C"/>
    <w:rPr>
      <w:color w:val="467886" w:themeColor="hyperlink"/>
      <w:u w:val="single"/>
    </w:rPr>
  </w:style>
  <w:style w:type="character" w:styleId="UnresolvedMention">
    <w:name w:val="Unresolved Mention"/>
    <w:basedOn w:val="DefaultParagraphFont"/>
    <w:uiPriority w:val="99"/>
    <w:semiHidden/>
    <w:unhideWhenUsed/>
    <w:rsid w:val="00366F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7718161">
      <w:bodyDiv w:val="1"/>
      <w:marLeft w:val="0"/>
      <w:marRight w:val="0"/>
      <w:marTop w:val="0"/>
      <w:marBottom w:val="0"/>
      <w:divBdr>
        <w:top w:val="none" w:sz="0" w:space="0" w:color="auto"/>
        <w:left w:val="none" w:sz="0" w:space="0" w:color="auto"/>
        <w:bottom w:val="none" w:sz="0" w:space="0" w:color="auto"/>
        <w:right w:val="none" w:sz="0" w:space="0" w:color="auto"/>
      </w:divBdr>
    </w:div>
    <w:div w:id="589659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nb.fidelity.com/public/nb/default/home?option=ngIAWellnessTopic&amp;topicId=taxprep&amp;recommendation=TaxPrep&amp;ccsource=em_nb_oft_taxed26" TargetMode="External"/><Relationship Id="rId12" Type="http://schemas.openxmlformats.org/officeDocument/2006/relationships/image" Target="media/image6.png"/><Relationship Id="rId17" Type="http://schemas.openxmlformats.org/officeDocument/2006/relationships/hyperlink" Target="https://www.sipc.org/" TargetMode="External"/><Relationship Id="rId2" Type="http://schemas.openxmlformats.org/officeDocument/2006/relationships/settings" Target="settings.xml"/><Relationship Id="rId16" Type="http://schemas.openxmlformats.org/officeDocument/2006/relationships/hyperlink" Target="https://nb.fidelity.com/public/nb/default/resourceslibrary/articles/termsofuse"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hyperlink" Target="https://apps.apple.com/us/app/netbenefits/id640179084" TargetMode="External"/><Relationship Id="rId5" Type="http://schemas.openxmlformats.org/officeDocument/2006/relationships/image" Target="media/image2.png"/><Relationship Id="rId15" Type="http://schemas.openxmlformats.org/officeDocument/2006/relationships/hyperlink" Target="https://nb.fidelity.com/public/nb/default/resourceslibrary/articles/privacypolicy" TargetMode="Externa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hyperlink" Target="https://play.google.com/store/apps/details?id=com.fidelity.wi.activity&amp;hl=en_US&amp;gl=US&amp;pli=1" TargetMode="External"/><Relationship Id="rId14" Type="http://schemas.openxmlformats.org/officeDocument/2006/relationships/hyperlink" Target="https://netbenefits.app.link/MEC-Email-Footer-Look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282</Words>
  <Characters>1613</Characters>
  <Application>Microsoft Office Word</Application>
  <DocSecurity>4</DocSecurity>
  <Lines>13</Lines>
  <Paragraphs>3</Paragraphs>
  <ScaleCrop>false</ScaleCrop>
  <Company>Fidelity Investments</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Sara</dc:creator>
  <cp:keywords/>
  <dc:description/>
  <cp:lastModifiedBy>Stockelman, Jordan</cp:lastModifiedBy>
  <cp:revision>2</cp:revision>
  <dcterms:created xsi:type="dcterms:W3CDTF">2026-01-30T18:31:00Z</dcterms:created>
  <dcterms:modified xsi:type="dcterms:W3CDTF">2026-01-30T18:31:00Z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2025-11-13T16:35:12Z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be2b9660-c5c2-448e-8fd3-5e905cde9f85</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